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CellSpacing w:w="21" w:type="dxa"/>
        <w:tblLook w:val="04A0" w:firstRow="1" w:lastRow="0" w:firstColumn="1" w:lastColumn="0" w:noHBand="0" w:noVBand="1"/>
      </w:tblPr>
      <w:tblGrid>
        <w:gridCol w:w="2404"/>
        <w:gridCol w:w="6946"/>
      </w:tblGrid>
      <w:tr w:rsidR="00225F82" w14:paraId="7C224E25" w14:textId="77777777" w:rsidTr="00225F82">
        <w:trPr>
          <w:tblCellSpacing w:w="21" w:type="dxa"/>
        </w:trPr>
        <w:tc>
          <w:tcPr>
            <w:tcW w:w="9350" w:type="dxa"/>
            <w:gridSpan w:val="2"/>
          </w:tcPr>
          <w:p w14:paraId="158DCDF1" w14:textId="2E9F308F" w:rsidR="00225F82" w:rsidRPr="00225F82" w:rsidRDefault="00225F82" w:rsidP="00225F82">
            <w:pPr>
              <w:jc w:val="center"/>
              <w:rPr>
                <w:b/>
                <w:bCs/>
                <w:color w:val="4F9D2D"/>
                <w:sz w:val="36"/>
                <w:szCs w:val="36"/>
              </w:rPr>
            </w:pPr>
            <w:r w:rsidRPr="00225F82">
              <w:rPr>
                <w:b/>
                <w:bCs/>
                <w:color w:val="4F9D2D"/>
                <w:sz w:val="36"/>
                <w:szCs w:val="36"/>
              </w:rPr>
              <w:t>WAFCA-CE General Information</w:t>
            </w:r>
          </w:p>
        </w:tc>
      </w:tr>
      <w:tr w:rsidR="00225F82" w14:paraId="285046D2" w14:textId="77777777" w:rsidTr="00225F82">
        <w:trPr>
          <w:tblCellSpacing w:w="21" w:type="dxa"/>
        </w:trPr>
        <w:tc>
          <w:tcPr>
            <w:tcW w:w="2321" w:type="dxa"/>
          </w:tcPr>
          <w:p w14:paraId="333E1C2F" w14:textId="77777777" w:rsidR="00225F82" w:rsidRPr="00225F82" w:rsidRDefault="00225F82" w:rsidP="00225F82">
            <w:pPr>
              <w:rPr>
                <w:rFonts w:eastAsia="Times New Roman" w:cs="Times New Roman"/>
                <w:b/>
                <w:bCs/>
                <w:sz w:val="28"/>
                <w:szCs w:val="28"/>
              </w:rPr>
            </w:pPr>
            <w:r w:rsidRPr="00225F82">
              <w:rPr>
                <w:rFonts w:eastAsia="Times New Roman" w:cs="Times New Roman"/>
                <w:b/>
                <w:bCs/>
                <w:sz w:val="28"/>
                <w:szCs w:val="28"/>
              </w:rPr>
              <w:t>CE Information:</w:t>
            </w:r>
          </w:p>
          <w:p w14:paraId="5C78B7CB" w14:textId="77777777" w:rsidR="00225F82" w:rsidRPr="00225F82" w:rsidRDefault="00225F82" w:rsidP="00225F82">
            <w:pPr>
              <w:rPr>
                <w:rFonts w:eastAsia="Times New Roman" w:cs="Times New Roman"/>
                <w:b/>
                <w:bCs/>
                <w:sz w:val="28"/>
                <w:szCs w:val="28"/>
              </w:rPr>
            </w:pPr>
          </w:p>
          <w:p w14:paraId="4B2075D9" w14:textId="2DEDB9F5" w:rsidR="00225F82" w:rsidRPr="00225F82" w:rsidRDefault="00225F82" w:rsidP="00225F82">
            <w:pPr>
              <w:pStyle w:val="Heading1"/>
              <w:spacing w:before="0" w:beforeAutospacing="0" w:after="0" w:afterAutospacing="0" w:line="510" w:lineRule="atLeast"/>
              <w:jc w:val="center"/>
              <w:rPr>
                <w:rFonts w:asciiTheme="minorHAnsi" w:hAnsiTheme="minorHAnsi" w:cs="Arial"/>
                <w:color w:val="85225F"/>
                <w:sz w:val="28"/>
                <w:szCs w:val="28"/>
              </w:rPr>
            </w:pPr>
          </w:p>
          <w:p w14:paraId="1CA57111" w14:textId="70CBFB68" w:rsidR="00225F82" w:rsidRPr="00225F82" w:rsidRDefault="00225F82" w:rsidP="00225F82">
            <w:pPr>
              <w:rPr>
                <w:rFonts w:eastAsia="Times New Roman" w:cs="Times New Roman"/>
                <w:b/>
                <w:bCs/>
                <w:sz w:val="28"/>
                <w:szCs w:val="28"/>
              </w:rPr>
            </w:pPr>
          </w:p>
        </w:tc>
        <w:tc>
          <w:tcPr>
            <w:tcW w:w="7029" w:type="dxa"/>
          </w:tcPr>
          <w:p w14:paraId="3524323F" w14:textId="50684650" w:rsidR="00225F82" w:rsidRPr="00225F82" w:rsidRDefault="00225F82" w:rsidP="00225F82">
            <w:pPr>
              <w:rPr>
                <w:rFonts w:eastAsia="Times New Roman" w:cs="Times New Roman"/>
              </w:rPr>
            </w:pPr>
            <w:r w:rsidRPr="00225F82">
              <w:rPr>
                <w:rFonts w:cs="Arial"/>
                <w:noProof/>
                <w:color w:val="4F9D2D"/>
                <w:sz w:val="36"/>
                <w:szCs w:val="36"/>
                <w:bdr w:val="none" w:sz="0" w:space="0" w:color="auto" w:frame="1"/>
              </w:rPr>
              <w:drawing>
                <wp:anchor distT="0" distB="0" distL="114300" distR="114300" simplePos="0" relativeHeight="251658240" behindDoc="0" locked="0" layoutInCell="1" allowOverlap="1" wp14:anchorId="6F2028C5" wp14:editId="20FFA327">
                  <wp:simplePos x="0" y="0"/>
                  <wp:positionH relativeFrom="column">
                    <wp:posOffset>3410585</wp:posOffset>
                  </wp:positionH>
                  <wp:positionV relativeFrom="paragraph">
                    <wp:posOffset>41910</wp:posOffset>
                  </wp:positionV>
                  <wp:extent cx="1128395" cy="11283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F82">
              <w:rPr>
                <w:rFonts w:eastAsia="Times New Roman" w:cs="Times New Roman"/>
              </w:rPr>
              <w:t xml:space="preserve">Wisconsin Association of Family and Children’s Agencies (WAFCA) has been approved by NBCC as an Approved Continuing Education Provider. ACEP No. 6778. Programs that do not qualify for NBCC credit are clearly identified. WAFCA is solely responsible for all aspects of the programs. </w:t>
            </w:r>
          </w:p>
          <w:p w14:paraId="0247ED19" w14:textId="0E8F57C3" w:rsidR="00225F82" w:rsidRPr="00225F82" w:rsidRDefault="00225F82" w:rsidP="00225F82">
            <w:pPr>
              <w:rPr>
                <w:rFonts w:eastAsia="Times New Roman" w:cs="Times New Roman"/>
              </w:rPr>
            </w:pPr>
          </w:p>
          <w:p w14:paraId="72C18430" w14:textId="61A6587D" w:rsidR="00225F82" w:rsidRPr="00225F82" w:rsidRDefault="00225F82" w:rsidP="00225F82">
            <w:pPr>
              <w:rPr>
                <w:rFonts w:eastAsia="Times New Roman" w:cs="Times New Roman"/>
              </w:rPr>
            </w:pPr>
            <w:r w:rsidRPr="00225F82">
              <w:rPr>
                <w:rFonts w:eastAsia="Times New Roman" w:cs="Times New Roman"/>
              </w:rPr>
              <w:t xml:space="preserve">All WAFCA-CE workshops qualify for continuing education credit for Wisconsin MFTs, PCs and Social Workers. Unless otherwise </w:t>
            </w:r>
            <w:r w:rsidRPr="00225F82">
              <w:rPr>
                <w:rFonts w:cs="Arial"/>
                <w:color w:val="4F9D2D"/>
                <w:sz w:val="36"/>
                <w:szCs w:val="36"/>
                <w:bdr w:val="none" w:sz="0" w:space="0" w:color="auto" w:frame="1"/>
              </w:rPr>
              <w:fldChar w:fldCharType="begin"/>
            </w:r>
            <w:r w:rsidRPr="00225F82">
              <w:rPr>
                <w:rFonts w:cs="Arial"/>
                <w:color w:val="4F9D2D"/>
                <w:sz w:val="36"/>
                <w:szCs w:val="36"/>
                <w:bdr w:val="none" w:sz="0" w:space="0" w:color="auto" w:frame="1"/>
              </w:rPr>
              <w:instrText xml:space="preserve"> INCLUDEPICTURE "https://www.wafca.org/assets/images/ACEP-logo-72dpi_web.jpg" \* MERGEFORMATINET </w:instrText>
            </w:r>
            <w:r w:rsidRPr="00225F82">
              <w:rPr>
                <w:rFonts w:cs="Arial"/>
                <w:color w:val="4F9D2D"/>
                <w:sz w:val="36"/>
                <w:szCs w:val="36"/>
                <w:bdr w:val="none" w:sz="0" w:space="0" w:color="auto" w:frame="1"/>
              </w:rPr>
              <w:fldChar w:fldCharType="separate"/>
            </w:r>
            <w:r w:rsidRPr="00225F82">
              <w:rPr>
                <w:rFonts w:cs="Arial"/>
                <w:color w:val="4F9D2D"/>
                <w:sz w:val="36"/>
                <w:szCs w:val="36"/>
                <w:bdr w:val="none" w:sz="0" w:space="0" w:color="auto" w:frame="1"/>
              </w:rPr>
              <w:fldChar w:fldCharType="end"/>
            </w:r>
            <w:r w:rsidRPr="00225F82">
              <w:rPr>
                <w:rFonts w:eastAsia="Times New Roman" w:cs="Times New Roman"/>
              </w:rPr>
              <w:t xml:space="preserve">noted, each program: 1) qualifies for NBCC credit; and 2) is relevant to the professional practice of marriage and family therapy, professional counseling, and social work. (See current CE requirements under Wisconsin Administrative Code MPSW 19.03 (1)(a) 6) </w:t>
            </w:r>
          </w:p>
          <w:p w14:paraId="62853496" w14:textId="2C0B8133" w:rsidR="00225F82" w:rsidRPr="00225F82" w:rsidRDefault="00225F82" w:rsidP="00225F82">
            <w:pPr>
              <w:rPr>
                <w:rFonts w:eastAsia="Times New Roman" w:cs="Times New Roman"/>
              </w:rPr>
            </w:pPr>
          </w:p>
          <w:p w14:paraId="11EF6708" w14:textId="04F9141C" w:rsidR="00225F82" w:rsidRPr="00225F82" w:rsidRDefault="00225F82" w:rsidP="00225F82">
            <w:pPr>
              <w:rPr>
                <w:rFonts w:eastAsia="Times New Roman" w:cs="Times New Roman"/>
              </w:rPr>
            </w:pPr>
            <w:r w:rsidRPr="00225F82">
              <w:rPr>
                <w:rFonts w:eastAsia="Times New Roman" w:cs="Times New Roman"/>
              </w:rPr>
              <w:t>Participants attending a full training will receive a certificate at the end of the training day for 6.0 CE hours. Participants attending partial sessions will be eligible for partial credit provided that the participant fully complies with on-site procedures for documenting attendance.</w:t>
            </w:r>
          </w:p>
        </w:tc>
      </w:tr>
      <w:tr w:rsidR="00225F82" w14:paraId="3A1135ED" w14:textId="77777777" w:rsidTr="00225F82">
        <w:trPr>
          <w:tblCellSpacing w:w="21" w:type="dxa"/>
        </w:trPr>
        <w:tc>
          <w:tcPr>
            <w:tcW w:w="2321" w:type="dxa"/>
          </w:tcPr>
          <w:p w14:paraId="2AB9A083" w14:textId="084BD494" w:rsidR="00225F82" w:rsidRPr="00225F82" w:rsidRDefault="00225F82" w:rsidP="00225F82">
            <w:pPr>
              <w:rPr>
                <w:rFonts w:eastAsia="Times New Roman" w:cs="Times New Roman"/>
                <w:b/>
                <w:bCs/>
                <w:sz w:val="28"/>
                <w:szCs w:val="28"/>
              </w:rPr>
            </w:pPr>
            <w:r w:rsidRPr="00225F82">
              <w:rPr>
                <w:rFonts w:eastAsia="Times New Roman" w:cs="Times New Roman"/>
                <w:b/>
                <w:bCs/>
                <w:sz w:val="28"/>
                <w:szCs w:val="28"/>
              </w:rPr>
              <w:t>Accommodations:</w:t>
            </w:r>
          </w:p>
        </w:tc>
        <w:tc>
          <w:tcPr>
            <w:tcW w:w="7029" w:type="dxa"/>
          </w:tcPr>
          <w:p w14:paraId="2E4F7A3D" w14:textId="147D0FEF" w:rsidR="00225F82" w:rsidRPr="00225F82" w:rsidRDefault="00225F82" w:rsidP="00225F82">
            <w:pPr>
              <w:rPr>
                <w:rFonts w:eastAsia="Times New Roman" w:cs="Times New Roman"/>
              </w:rPr>
            </w:pPr>
            <w:r w:rsidRPr="00225F82">
              <w:rPr>
                <w:rFonts w:eastAsia="Times New Roman" w:cs="Times New Roman"/>
              </w:rPr>
              <w:t>If you have a disability and desire accommodations, please advise us when you register. Requests are confidential.</w:t>
            </w:r>
          </w:p>
        </w:tc>
      </w:tr>
      <w:tr w:rsidR="00225F82" w14:paraId="7346C509" w14:textId="77777777" w:rsidTr="00225F82">
        <w:trPr>
          <w:tblCellSpacing w:w="21" w:type="dxa"/>
        </w:trPr>
        <w:tc>
          <w:tcPr>
            <w:tcW w:w="2321" w:type="dxa"/>
          </w:tcPr>
          <w:p w14:paraId="414E8EAD" w14:textId="4A1886B9" w:rsidR="00225F82" w:rsidRPr="00225F82" w:rsidRDefault="00225F82" w:rsidP="00225F82">
            <w:pPr>
              <w:rPr>
                <w:rFonts w:eastAsia="Times New Roman" w:cs="Times New Roman"/>
                <w:b/>
                <w:bCs/>
                <w:sz w:val="28"/>
                <w:szCs w:val="28"/>
              </w:rPr>
            </w:pPr>
            <w:r w:rsidRPr="00225F82">
              <w:rPr>
                <w:rFonts w:eastAsia="Times New Roman" w:cs="Times New Roman"/>
                <w:b/>
                <w:bCs/>
                <w:sz w:val="28"/>
                <w:szCs w:val="28"/>
              </w:rPr>
              <w:t>Program concerns:</w:t>
            </w:r>
          </w:p>
        </w:tc>
        <w:tc>
          <w:tcPr>
            <w:tcW w:w="7029" w:type="dxa"/>
          </w:tcPr>
          <w:p w14:paraId="7DC46AEB" w14:textId="4F2CB7A2" w:rsidR="00225F82" w:rsidRPr="00225F82" w:rsidRDefault="00225F82" w:rsidP="00225F82">
            <w:pPr>
              <w:rPr>
                <w:rFonts w:eastAsia="Times New Roman" w:cs="Times New Roman"/>
              </w:rPr>
            </w:pPr>
            <w:r w:rsidRPr="00225F82">
              <w:rPr>
                <w:rFonts w:eastAsia="Times New Roman" w:cs="Times New Roman"/>
              </w:rPr>
              <w:t xml:space="preserve">Program </w:t>
            </w:r>
            <w:r w:rsidRPr="00225F82">
              <w:rPr>
                <w:rFonts w:eastAsia="Times New Roman" w:cs="Times New Roman"/>
              </w:rPr>
              <w:t xml:space="preserve">concerns may be directed to </w:t>
            </w:r>
            <w:hyperlink r:id="rId7" w:history="1">
              <w:r w:rsidRPr="00225F82">
                <w:rPr>
                  <w:rStyle w:val="Hyperlink"/>
                  <w:rFonts w:eastAsia="Times New Roman" w:cs="Times New Roman"/>
                </w:rPr>
                <w:t>info@wafca.org</w:t>
              </w:r>
            </w:hyperlink>
            <w:r w:rsidRPr="00225F82">
              <w:rPr>
                <w:rFonts w:eastAsia="Times New Roman" w:cs="Times New Roman"/>
              </w:rPr>
              <w:t>.</w:t>
            </w:r>
          </w:p>
        </w:tc>
      </w:tr>
      <w:tr w:rsidR="00225F82" w14:paraId="28518271" w14:textId="77777777" w:rsidTr="00225F82">
        <w:trPr>
          <w:tblCellSpacing w:w="21" w:type="dxa"/>
        </w:trPr>
        <w:tc>
          <w:tcPr>
            <w:tcW w:w="2321" w:type="dxa"/>
          </w:tcPr>
          <w:p w14:paraId="7D01DA49" w14:textId="5873891F" w:rsidR="00225F82" w:rsidRPr="00225F82" w:rsidRDefault="00225F82" w:rsidP="00225F82">
            <w:pPr>
              <w:rPr>
                <w:rFonts w:eastAsia="Times New Roman" w:cs="Times New Roman"/>
                <w:b/>
                <w:bCs/>
                <w:sz w:val="28"/>
                <w:szCs w:val="28"/>
              </w:rPr>
            </w:pPr>
            <w:r w:rsidRPr="00225F82">
              <w:rPr>
                <w:rFonts w:eastAsia="Times New Roman" w:cs="Times New Roman"/>
                <w:b/>
                <w:bCs/>
                <w:sz w:val="28"/>
                <w:szCs w:val="28"/>
              </w:rPr>
              <w:t>Confidentiality of participant information:</w:t>
            </w:r>
          </w:p>
        </w:tc>
        <w:tc>
          <w:tcPr>
            <w:tcW w:w="7029" w:type="dxa"/>
          </w:tcPr>
          <w:p w14:paraId="7D568068" w14:textId="77777777" w:rsidR="00225F82" w:rsidRDefault="00225F82" w:rsidP="00225F82">
            <w:pPr>
              <w:rPr>
                <w:rFonts w:eastAsia="Times New Roman" w:cs="Times New Roman"/>
              </w:rPr>
            </w:pPr>
            <w:r w:rsidRPr="00225F82">
              <w:rPr>
                <w:rFonts w:eastAsia="Times New Roman" w:cs="Times New Roman"/>
              </w:rPr>
              <w:t xml:space="preserve">Information related to the identity of participants/information and materials submitted to WAFCA by the participants shall remain confidential and secure. Participant information will not be shared with presenters without prior authorization from participants. </w:t>
            </w:r>
          </w:p>
          <w:p w14:paraId="779BDC2F" w14:textId="77777777" w:rsidR="00225F82" w:rsidRDefault="00225F82" w:rsidP="00225F82">
            <w:pPr>
              <w:rPr>
                <w:rFonts w:eastAsia="Times New Roman" w:cs="Times New Roman"/>
              </w:rPr>
            </w:pPr>
          </w:p>
          <w:p w14:paraId="4B2011A3" w14:textId="2269D3FF" w:rsidR="00225F82" w:rsidRPr="00225F82" w:rsidRDefault="00225F82" w:rsidP="00225F82">
            <w:pPr>
              <w:rPr>
                <w:rFonts w:eastAsia="Times New Roman" w:cs="Times New Roman"/>
              </w:rPr>
            </w:pPr>
            <w:r w:rsidRPr="00225F82">
              <w:rPr>
                <w:rFonts w:eastAsia="Times New Roman" w:cs="Times New Roman"/>
              </w:rPr>
              <w:t xml:space="preserve">Note: For purposes of employment verification and payment, WAFCA </w:t>
            </w:r>
            <w:r>
              <w:rPr>
                <w:rFonts w:eastAsia="Times New Roman" w:cs="Times New Roman"/>
              </w:rPr>
              <w:t>may</w:t>
            </w:r>
            <w:r w:rsidRPr="00225F82">
              <w:rPr>
                <w:rFonts w:eastAsia="Times New Roman" w:cs="Times New Roman"/>
              </w:rPr>
              <w:t xml:space="preserve"> share registrant information with your employing agency</w:t>
            </w:r>
            <w:r>
              <w:rPr>
                <w:rFonts w:eastAsia="Times New Roman" w:cs="Times New Roman"/>
              </w:rPr>
              <w:t>.</w:t>
            </w:r>
          </w:p>
        </w:tc>
      </w:tr>
    </w:tbl>
    <w:p w14:paraId="54C7ACCD" w14:textId="77777777" w:rsidR="00EF14EE" w:rsidRDefault="00EF14EE"/>
    <w:sectPr w:rsidR="00EF14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FB7CF" w14:textId="77777777" w:rsidR="00225F82" w:rsidRDefault="00225F82" w:rsidP="00225F82">
      <w:r>
        <w:separator/>
      </w:r>
    </w:p>
  </w:endnote>
  <w:endnote w:type="continuationSeparator" w:id="0">
    <w:p w14:paraId="574EC66F" w14:textId="77777777" w:rsidR="00225F82" w:rsidRDefault="00225F82" w:rsidP="0022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B4128" w14:textId="77777777" w:rsidR="00225F82" w:rsidRDefault="00225F82" w:rsidP="00225F82">
      <w:r>
        <w:separator/>
      </w:r>
    </w:p>
  </w:footnote>
  <w:footnote w:type="continuationSeparator" w:id="0">
    <w:p w14:paraId="48E73CD5" w14:textId="77777777" w:rsidR="00225F82" w:rsidRDefault="00225F82" w:rsidP="0022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3FE2" w14:textId="3A1CAE9E" w:rsidR="00225F82" w:rsidRDefault="00225F82" w:rsidP="00225F82">
    <w:pPr>
      <w:pStyle w:val="Header"/>
      <w:jc w:val="center"/>
    </w:pPr>
    <w:r w:rsidRPr="0088315E">
      <w:rPr>
        <w:noProof/>
      </w:rPr>
      <w:drawing>
        <wp:inline distT="0" distB="0" distL="0" distR="0" wp14:anchorId="7F97A8D7" wp14:editId="78353BCF">
          <wp:extent cx="2843092" cy="14097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2518" cy="1414374"/>
                  </a:xfrm>
                  <a:prstGeom prst="rect">
                    <a:avLst/>
                  </a:prstGeom>
                  <a:noFill/>
                  <a:ln>
                    <a:noFill/>
                  </a:ln>
                </pic:spPr>
              </pic:pic>
            </a:graphicData>
          </a:graphic>
        </wp:inline>
      </w:drawing>
    </w:r>
  </w:p>
  <w:p w14:paraId="7963C913" w14:textId="77777777" w:rsidR="00225F82" w:rsidRDefault="00225F82" w:rsidP="00225F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82"/>
    <w:rsid w:val="00225F82"/>
    <w:rsid w:val="00E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76E6"/>
  <w15:chartTrackingRefBased/>
  <w15:docId w15:val="{B56CA02E-38E9-7547-8E6C-7B262212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F8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F82"/>
    <w:rPr>
      <w:color w:val="0563C1" w:themeColor="hyperlink"/>
      <w:u w:val="single"/>
    </w:rPr>
  </w:style>
  <w:style w:type="character" w:styleId="UnresolvedMention">
    <w:name w:val="Unresolved Mention"/>
    <w:basedOn w:val="DefaultParagraphFont"/>
    <w:uiPriority w:val="99"/>
    <w:semiHidden/>
    <w:unhideWhenUsed/>
    <w:rsid w:val="00225F82"/>
    <w:rPr>
      <w:color w:val="605E5C"/>
      <w:shd w:val="clear" w:color="auto" w:fill="E1DFDD"/>
    </w:rPr>
  </w:style>
  <w:style w:type="character" w:customStyle="1" w:styleId="Heading1Char">
    <w:name w:val="Heading 1 Char"/>
    <w:basedOn w:val="DefaultParagraphFont"/>
    <w:link w:val="Heading1"/>
    <w:uiPriority w:val="9"/>
    <w:rsid w:val="00225F82"/>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25F82"/>
    <w:pPr>
      <w:tabs>
        <w:tab w:val="center" w:pos="4680"/>
        <w:tab w:val="right" w:pos="9360"/>
      </w:tabs>
    </w:pPr>
  </w:style>
  <w:style w:type="character" w:customStyle="1" w:styleId="HeaderChar">
    <w:name w:val="Header Char"/>
    <w:basedOn w:val="DefaultParagraphFont"/>
    <w:link w:val="Header"/>
    <w:uiPriority w:val="99"/>
    <w:rsid w:val="00225F82"/>
  </w:style>
  <w:style w:type="paragraph" w:styleId="Footer">
    <w:name w:val="footer"/>
    <w:basedOn w:val="Normal"/>
    <w:link w:val="FooterChar"/>
    <w:uiPriority w:val="99"/>
    <w:unhideWhenUsed/>
    <w:rsid w:val="00225F82"/>
    <w:pPr>
      <w:tabs>
        <w:tab w:val="center" w:pos="4680"/>
        <w:tab w:val="right" w:pos="9360"/>
      </w:tabs>
    </w:pPr>
  </w:style>
  <w:style w:type="character" w:customStyle="1" w:styleId="FooterChar">
    <w:name w:val="Footer Char"/>
    <w:basedOn w:val="DefaultParagraphFont"/>
    <w:link w:val="Footer"/>
    <w:uiPriority w:val="99"/>
    <w:rsid w:val="0022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35267">
      <w:bodyDiv w:val="1"/>
      <w:marLeft w:val="0"/>
      <w:marRight w:val="0"/>
      <w:marTop w:val="0"/>
      <w:marBottom w:val="0"/>
      <w:divBdr>
        <w:top w:val="none" w:sz="0" w:space="0" w:color="auto"/>
        <w:left w:val="none" w:sz="0" w:space="0" w:color="auto"/>
        <w:bottom w:val="none" w:sz="0" w:space="0" w:color="auto"/>
        <w:right w:val="none" w:sz="0" w:space="0" w:color="auto"/>
      </w:divBdr>
    </w:div>
    <w:div w:id="685521546">
      <w:bodyDiv w:val="1"/>
      <w:marLeft w:val="0"/>
      <w:marRight w:val="0"/>
      <w:marTop w:val="0"/>
      <w:marBottom w:val="0"/>
      <w:divBdr>
        <w:top w:val="none" w:sz="0" w:space="0" w:color="auto"/>
        <w:left w:val="none" w:sz="0" w:space="0" w:color="auto"/>
        <w:bottom w:val="none" w:sz="0" w:space="0" w:color="auto"/>
        <w:right w:val="none" w:sz="0" w:space="0" w:color="auto"/>
      </w:divBdr>
    </w:div>
    <w:div w:id="14082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waf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Forseth</dc:creator>
  <cp:keywords/>
  <dc:description/>
  <cp:lastModifiedBy>Allyson Forseth</cp:lastModifiedBy>
  <cp:revision>1</cp:revision>
  <dcterms:created xsi:type="dcterms:W3CDTF">2020-11-24T21:23:00Z</dcterms:created>
  <dcterms:modified xsi:type="dcterms:W3CDTF">2020-11-24T21:30:00Z</dcterms:modified>
</cp:coreProperties>
</file>